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华文中宋" w:hAnsi="华文中宋" w:eastAsia="华文中宋" w:cs="微软雅黑"/>
          <w:bCs/>
          <w:sz w:val="44"/>
          <w:szCs w:val="44"/>
        </w:rPr>
        <w:t>综</w:t>
      </w:r>
      <w:r>
        <w:rPr>
          <w:rFonts w:hint="eastAsia" w:ascii="华文中宋" w:hAnsi="华文中宋" w:eastAsia="华文中宋" w:cs="仿宋_GB2312"/>
          <w:bCs/>
          <w:sz w:val="44"/>
          <w:szCs w:val="44"/>
        </w:rPr>
        <w:t>合评价指标</w:t>
      </w:r>
    </w:p>
    <w:bookmarkEnd w:id="0"/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一、经营业绩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银行基本情况；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资本充足率（总行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或苏州分行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）；银行不良贷款率（总行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或苏州分行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）；拨备覆盖率（总行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或苏州分行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）；流动性比例（总行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或苏州分行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）；总部是否设在苏州，是否设在园区；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与本地政府、基金及企业的合作情况。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二、服务经验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私募股权投资基金托管规模（分行）；私募股权投资基金托管数量（分行）；政府投资基金托管规模（分行）；政府投资基金托管数量（分行）；国家级、省级、市级政府投资基金托管经验（分行）。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三、服务费用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托管费用报价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存款利率。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四、定制化服务方案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基金托管服务及保障、资金风险管控、间隙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资金增值管理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、应急措施及特色个性化服务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等建设性方案。</w:t>
      </w:r>
    </w:p>
    <w:p>
      <w:pPr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mMyZThmMjM5MjMzZWNlZWRhNTNiZThkNWU1MmIifQ=="/>
  </w:docVars>
  <w:rsids>
    <w:rsidRoot w:val="73113F97"/>
    <w:rsid w:val="0F68488C"/>
    <w:rsid w:val="1AB9593D"/>
    <w:rsid w:val="55F65E7E"/>
    <w:rsid w:val="57A46FD8"/>
    <w:rsid w:val="731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方正小标宋_GBK" w:cs="宋体"/>
      <w:b/>
      <w:bCs/>
      <w:kern w:val="0"/>
      <w:sz w:val="44"/>
      <w:szCs w:val="36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页码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8"/>
      <w:szCs w:val="18"/>
    </w:rPr>
  </w:style>
  <w:style w:type="paragraph" w:customStyle="1" w:styleId="6">
    <w:name w:val="行研格式-报告标题1"/>
    <w:basedOn w:val="1"/>
    <w:qFormat/>
    <w:uiPriority w:val="0"/>
    <w:pPr>
      <w:spacing w:line="600" w:lineRule="exact"/>
      <w:jc w:val="center"/>
    </w:pPr>
    <w:rPr>
      <w:rFonts w:ascii="Times New Roman" w:hAnsi="Times New Roman" w:eastAsia="华文中宋" w:cs="Times New Roman"/>
      <w:sz w:val="48"/>
      <w:szCs w:val="24"/>
    </w:rPr>
  </w:style>
  <w:style w:type="paragraph" w:customStyle="1" w:styleId="7">
    <w:name w:val="(一)"/>
    <w:basedOn w:val="1"/>
    <w:uiPriority w:val="0"/>
    <w:pPr>
      <w:spacing w:line="560" w:lineRule="exact"/>
      <w:ind w:firstLine="640" w:firstLineChars="200"/>
      <w:outlineLvl w:val="1"/>
    </w:pPr>
    <w:rPr>
      <w:rFonts w:hint="eastAsia" w:ascii="楷体" w:hAnsi="楷体" w:eastAsia="楷体" w:cs="楷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2024-06-03T01:09:00Z</dcterms:created>
  <dc:creator>雨亭</dc:creator>
  <cp:lastModifiedBy>雨亭</cp:lastModifiedBy>
  <dcterms:modified xsi:type="dcterms:W3CDTF">2024-06-03T01:10:00Z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9E6778FF28B545B2814EA05C59AE829E_11</vt:lpwstr>
  </property>
</Properties>
</file>